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3987" w14:textId="5D1A92FC" w:rsidR="00825A6B" w:rsidRDefault="00825A6B" w:rsidP="000859C7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APPROVAL</w:t>
      </w:r>
    </w:p>
    <w:tbl>
      <w:tblPr>
        <w:tblW w:w="937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300"/>
      </w:tblGrid>
      <w:tr w:rsidR="006D006D" w14:paraId="36C9A7C5" w14:textId="77777777" w:rsidTr="00762E85">
        <w:trPr>
          <w:trHeight w:val="458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57C9C24E" w14:textId="77777777" w:rsidR="006D006D" w:rsidRPr="00681DB3" w:rsidRDefault="006D006D" w:rsidP="00762E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B3">
              <w:rPr>
                <w:rFonts w:ascii="Arial" w:hAnsi="Arial" w:cs="Arial"/>
                <w:sz w:val="22"/>
                <w:szCs w:val="22"/>
              </w:rPr>
              <w:t>Approved By:</w:t>
            </w:r>
          </w:p>
        </w:tc>
        <w:tc>
          <w:tcPr>
            <w:tcW w:w="6300" w:type="dxa"/>
            <w:vAlign w:val="center"/>
          </w:tcPr>
          <w:p w14:paraId="72300200" w14:textId="77777777" w:rsidR="006D006D" w:rsidRPr="00681DB3" w:rsidRDefault="006D006D" w:rsidP="00762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06D" w14:paraId="2D63D6A1" w14:textId="77777777" w:rsidTr="00762E85">
        <w:trPr>
          <w:trHeight w:val="458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71360E73" w14:textId="77777777" w:rsidR="006D006D" w:rsidRPr="00681DB3" w:rsidRDefault="006D006D" w:rsidP="00762E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B3">
              <w:rPr>
                <w:rFonts w:ascii="Arial" w:hAnsi="Arial" w:cs="Arial"/>
                <w:sz w:val="22"/>
                <w:szCs w:val="22"/>
              </w:rPr>
              <w:t>Approved Date:</w:t>
            </w:r>
          </w:p>
        </w:tc>
        <w:tc>
          <w:tcPr>
            <w:tcW w:w="6300" w:type="dxa"/>
            <w:vAlign w:val="center"/>
          </w:tcPr>
          <w:p w14:paraId="41D54278" w14:textId="77777777" w:rsidR="006D006D" w:rsidRPr="00681DB3" w:rsidRDefault="006D006D" w:rsidP="00762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06D" w14:paraId="1C4A143C" w14:textId="77777777" w:rsidTr="00762E85">
        <w:trPr>
          <w:trHeight w:val="458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6A2D9A94" w14:textId="77777777" w:rsidR="006D006D" w:rsidRPr="00681DB3" w:rsidRDefault="006D006D" w:rsidP="00762E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B3"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6300" w:type="dxa"/>
            <w:vAlign w:val="center"/>
          </w:tcPr>
          <w:p w14:paraId="72901387" w14:textId="77777777" w:rsidR="006D006D" w:rsidRPr="00681DB3" w:rsidRDefault="006D006D" w:rsidP="00762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06D" w14:paraId="138F88EB" w14:textId="77777777" w:rsidTr="00762E85">
        <w:trPr>
          <w:trHeight w:val="458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60F714BE" w14:textId="77777777" w:rsidR="006D006D" w:rsidRDefault="006D006D" w:rsidP="00762E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Governance Committee:</w:t>
            </w:r>
          </w:p>
        </w:tc>
        <w:tc>
          <w:tcPr>
            <w:tcW w:w="6300" w:type="dxa"/>
            <w:vAlign w:val="center"/>
          </w:tcPr>
          <w:p w14:paraId="01E399CA" w14:textId="77777777" w:rsidR="006D006D" w:rsidRPr="00681DB3" w:rsidRDefault="006D006D" w:rsidP="00762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06D" w14:paraId="44E8ABD0" w14:textId="77777777" w:rsidTr="00762E85">
        <w:trPr>
          <w:trHeight w:val="458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04844B23" w14:textId="77777777" w:rsidR="006D006D" w:rsidRPr="00681DB3" w:rsidRDefault="006D006D" w:rsidP="00762E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of Directors:</w:t>
            </w:r>
          </w:p>
        </w:tc>
        <w:tc>
          <w:tcPr>
            <w:tcW w:w="6300" w:type="dxa"/>
            <w:vAlign w:val="center"/>
          </w:tcPr>
          <w:p w14:paraId="624324D3" w14:textId="77777777" w:rsidR="006D006D" w:rsidRPr="00681DB3" w:rsidRDefault="006D006D" w:rsidP="00762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88A00" w14:textId="77777777" w:rsidR="006D006D" w:rsidRDefault="006D006D" w:rsidP="000859C7">
      <w:pPr>
        <w:spacing w:before="120"/>
        <w:rPr>
          <w:rFonts w:ascii="Arial" w:hAnsi="Arial" w:cs="Arial"/>
          <w:b/>
          <w:sz w:val="22"/>
          <w:szCs w:val="22"/>
        </w:rPr>
      </w:pPr>
    </w:p>
    <w:p w14:paraId="060A2BF0" w14:textId="276E1997" w:rsidR="00E02805" w:rsidRPr="001E49EA" w:rsidRDefault="00E02805" w:rsidP="000859C7">
      <w:pPr>
        <w:spacing w:before="120"/>
        <w:rPr>
          <w:rFonts w:ascii="Arial" w:hAnsi="Arial" w:cs="Arial"/>
          <w:b/>
          <w:sz w:val="22"/>
          <w:szCs w:val="22"/>
        </w:rPr>
      </w:pPr>
      <w:r w:rsidRPr="001E49EA">
        <w:rPr>
          <w:rFonts w:ascii="Arial" w:hAnsi="Arial" w:cs="Arial"/>
          <w:b/>
          <w:sz w:val="22"/>
          <w:szCs w:val="22"/>
        </w:rPr>
        <w:t>PURPOSE</w:t>
      </w:r>
    </w:p>
    <w:p w14:paraId="51465CA0" w14:textId="7FD9E129" w:rsidR="00D4465A" w:rsidRDefault="00D4465A" w:rsidP="00D4465A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purpose of this policy is to ensure that an asset management program is maintained to ensure proper control, management, assessment and planning regarding information technology assets</w:t>
      </w:r>
      <w:r w:rsidR="007D289C">
        <w:rPr>
          <w:rFonts w:ascii="Arial" w:hAnsi="Arial" w:cs="Arial"/>
          <w:color w:val="000000"/>
          <w:sz w:val="20"/>
          <w:szCs w:val="20"/>
        </w:rPr>
        <w:t xml:space="preserve"> at CompanyName.</w:t>
      </w:r>
    </w:p>
    <w:p w14:paraId="135C546C" w14:textId="09139C9C" w:rsidR="00D4465A" w:rsidRDefault="00D4465A" w:rsidP="00D4465A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information technology asset may be placed in service in the company network/infrastructure with</w:t>
      </w:r>
      <w:r w:rsidR="00B7413D">
        <w:rPr>
          <w:rFonts w:ascii="Arial" w:hAnsi="Arial" w:cs="Arial"/>
          <w:color w:val="000000"/>
          <w:sz w:val="20"/>
          <w:szCs w:val="20"/>
        </w:rPr>
        <w:t>out</w:t>
      </w:r>
      <w:r>
        <w:rPr>
          <w:rFonts w:ascii="Arial" w:hAnsi="Arial" w:cs="Arial"/>
          <w:color w:val="000000"/>
          <w:sz w:val="20"/>
          <w:szCs w:val="20"/>
        </w:rPr>
        <w:t xml:space="preserve"> being inventoried</w:t>
      </w:r>
      <w:r w:rsidR="00B7413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7413D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nventory records</w:t>
      </w:r>
      <w:r w:rsidR="00B7413D">
        <w:rPr>
          <w:rFonts w:ascii="Arial" w:hAnsi="Arial" w:cs="Arial"/>
          <w:color w:val="000000"/>
          <w:sz w:val="20"/>
          <w:szCs w:val="20"/>
        </w:rPr>
        <w:t xml:space="preserve"> of an asset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289C">
        <w:rPr>
          <w:rFonts w:ascii="Arial" w:hAnsi="Arial" w:cs="Arial"/>
          <w:color w:val="000000"/>
          <w:sz w:val="20"/>
          <w:szCs w:val="20"/>
        </w:rPr>
        <w:t>must be maintained so long as CompanyName</w:t>
      </w:r>
      <w:r>
        <w:rPr>
          <w:rFonts w:ascii="Arial" w:hAnsi="Arial" w:cs="Arial"/>
          <w:color w:val="000000"/>
          <w:sz w:val="20"/>
          <w:szCs w:val="20"/>
        </w:rPr>
        <w:t xml:space="preserve"> continues to own</w:t>
      </w:r>
      <w:r w:rsidR="00B7413D">
        <w:rPr>
          <w:rFonts w:ascii="Arial" w:hAnsi="Arial" w:cs="Arial"/>
          <w:color w:val="000000"/>
          <w:sz w:val="20"/>
          <w:szCs w:val="20"/>
        </w:rPr>
        <w:t xml:space="preserve"> or lease</w:t>
      </w:r>
      <w:r>
        <w:rPr>
          <w:rFonts w:ascii="Arial" w:hAnsi="Arial" w:cs="Arial"/>
          <w:color w:val="000000"/>
          <w:sz w:val="20"/>
          <w:szCs w:val="20"/>
        </w:rPr>
        <w:t xml:space="preserve"> the asset.</w:t>
      </w:r>
    </w:p>
    <w:p w14:paraId="2CDF4BBB" w14:textId="77777777" w:rsidR="00E02805" w:rsidRDefault="00E02805" w:rsidP="000859C7">
      <w:pPr>
        <w:spacing w:before="120"/>
        <w:rPr>
          <w:rFonts w:ascii="Arial" w:hAnsi="Arial" w:cs="Arial"/>
          <w:b/>
          <w:sz w:val="22"/>
          <w:szCs w:val="22"/>
        </w:rPr>
      </w:pPr>
    </w:p>
    <w:p w14:paraId="0D690DC4" w14:textId="77777777" w:rsidR="00E02805" w:rsidRPr="006B6FB2" w:rsidRDefault="00E02805" w:rsidP="007143D2">
      <w:pPr>
        <w:spacing w:before="120"/>
        <w:rPr>
          <w:rFonts w:ascii="Arial" w:hAnsi="Arial" w:cs="Arial"/>
          <w:b/>
          <w:sz w:val="22"/>
          <w:szCs w:val="22"/>
        </w:rPr>
      </w:pPr>
      <w:r w:rsidRPr="001E49EA">
        <w:rPr>
          <w:rFonts w:ascii="Arial" w:hAnsi="Arial" w:cs="Arial"/>
          <w:b/>
          <w:sz w:val="22"/>
          <w:szCs w:val="22"/>
        </w:rPr>
        <w:t>SCOPE</w:t>
      </w:r>
    </w:p>
    <w:p w14:paraId="6EABEA21" w14:textId="250416F1" w:rsidR="00D4465A" w:rsidRDefault="00D4465A" w:rsidP="00D4465A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scope of this policy includes all information technology assets owned </w:t>
      </w:r>
      <w:r w:rsidR="00B7413D">
        <w:rPr>
          <w:rFonts w:ascii="Arial" w:hAnsi="Arial" w:cs="Arial"/>
          <w:color w:val="000000"/>
          <w:sz w:val="20"/>
          <w:szCs w:val="20"/>
        </w:rPr>
        <w:t xml:space="preserve">or leased </w:t>
      </w:r>
      <w:r w:rsidR="007D289C">
        <w:rPr>
          <w:rFonts w:ascii="Arial" w:hAnsi="Arial" w:cs="Arial"/>
          <w:color w:val="000000"/>
          <w:sz w:val="20"/>
          <w:szCs w:val="20"/>
        </w:rPr>
        <w:t>by CompanyName</w:t>
      </w:r>
      <w:r>
        <w:rPr>
          <w:rFonts w:ascii="Arial" w:hAnsi="Arial" w:cs="Arial"/>
          <w:color w:val="000000"/>
          <w:sz w:val="20"/>
          <w:szCs w:val="20"/>
        </w:rPr>
        <w:t xml:space="preserve">.  Assets must be properly tracked from acquisition through useful service lifetime to the point at which each asset is disposed of </w:t>
      </w:r>
      <w:r w:rsidR="00B7413D">
        <w:rPr>
          <w:rFonts w:ascii="Arial" w:hAnsi="Arial" w:cs="Arial"/>
          <w:color w:val="000000"/>
          <w:sz w:val="20"/>
          <w:szCs w:val="20"/>
        </w:rPr>
        <w:t>– either through sale, gift or destruction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5441E188" w14:textId="577414DF" w:rsidR="00D4465A" w:rsidRDefault="00D4465A" w:rsidP="00D4465A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policy applies to all computers, laptops, servers, firewalls, routers, printers, faxes</w:t>
      </w:r>
      <w:r w:rsidR="005B3629">
        <w:rPr>
          <w:rFonts w:ascii="Arial" w:hAnsi="Arial" w:cs="Arial"/>
          <w:color w:val="000000"/>
          <w:sz w:val="20"/>
          <w:szCs w:val="20"/>
        </w:rPr>
        <w:t xml:space="preserve">, scanners, credit card readers, </w:t>
      </w:r>
      <w:r>
        <w:rPr>
          <w:rFonts w:ascii="Arial" w:hAnsi="Arial" w:cs="Arial"/>
          <w:color w:val="000000"/>
          <w:sz w:val="20"/>
          <w:szCs w:val="20"/>
        </w:rPr>
        <w:t>swipe devices, other hardware devices and any other information technology asset that is either directly or indirectly connected to the company network (e.g., a dedicated printer connected to a computer).</w:t>
      </w:r>
    </w:p>
    <w:p w14:paraId="7E760DD2" w14:textId="6883E903" w:rsidR="00D4465A" w:rsidRDefault="00D4465A" w:rsidP="00D4465A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Additionally, information technology assets temporarily or permanently removed from servic</w:t>
      </w:r>
      <w:r w:rsidR="00B7413D">
        <w:rPr>
          <w:rFonts w:ascii="Arial" w:hAnsi="Arial" w:cs="Arial"/>
          <w:color w:val="000000"/>
          <w:sz w:val="20"/>
          <w:szCs w:val="20"/>
        </w:rPr>
        <w:t xml:space="preserve">e </w:t>
      </w:r>
      <w:r w:rsidR="00124835">
        <w:rPr>
          <w:rFonts w:ascii="Arial" w:hAnsi="Arial" w:cs="Arial"/>
          <w:color w:val="000000"/>
          <w:sz w:val="20"/>
          <w:szCs w:val="20"/>
        </w:rPr>
        <w:t xml:space="preserve">are included in the inventory. </w:t>
      </w:r>
      <w:r w:rsidR="00B7413D">
        <w:rPr>
          <w:rFonts w:ascii="Arial" w:hAnsi="Arial" w:cs="Arial"/>
          <w:color w:val="000000"/>
          <w:sz w:val="20"/>
          <w:szCs w:val="20"/>
        </w:rPr>
        <w:t>A log of information technology assets disposed of will be kept for a minimum of 1 year from the disposal date.</w:t>
      </w:r>
    </w:p>
    <w:p w14:paraId="045FFF28" w14:textId="77777777" w:rsidR="00E02805" w:rsidRDefault="00E02805" w:rsidP="000859C7">
      <w:pPr>
        <w:spacing w:before="120"/>
        <w:rPr>
          <w:rFonts w:ascii="Arial" w:hAnsi="Arial" w:cs="Arial"/>
          <w:sz w:val="20"/>
          <w:szCs w:val="20"/>
        </w:rPr>
      </w:pPr>
    </w:p>
    <w:p w14:paraId="71CC6770" w14:textId="77777777" w:rsidR="00E02805" w:rsidRPr="006B6FB2" w:rsidRDefault="00E02805" w:rsidP="006B6FB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</w:t>
      </w:r>
    </w:p>
    <w:p w14:paraId="7A0060FC" w14:textId="37CFBBB9" w:rsidR="002A5383" w:rsidRDefault="002A5383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Approved Product List must be maintained containing information technology assets that can be purchased or leased for </w:t>
      </w:r>
      <w:r w:rsidR="00124835">
        <w:rPr>
          <w:rFonts w:ascii="Arial" w:hAnsi="Arial"/>
          <w:sz w:val="20"/>
        </w:rPr>
        <w:t>use on the network and by staff</w:t>
      </w:r>
    </w:p>
    <w:p w14:paraId="6E8FD70A" w14:textId="2BAFC180" w:rsidR="00D4465A" w:rsidRDefault="00D4465A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Newly acquired assets must be inventoried before they are placed into service on the</w:t>
      </w:r>
      <w:r w:rsidR="00124835">
        <w:rPr>
          <w:rFonts w:ascii="Arial" w:hAnsi="Arial"/>
          <w:sz w:val="20"/>
        </w:rPr>
        <w:t xml:space="preserve"> company network/infrastructure</w:t>
      </w:r>
    </w:p>
    <w:p w14:paraId="1F3985C8" w14:textId="3D846785" w:rsidR="00D4465A" w:rsidRDefault="00D4465A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Only IT staff may move, connect or disconnect information technology assets with the exception of explicit authorizations to IT sta</w:t>
      </w:r>
      <w:r w:rsidR="00124835">
        <w:rPr>
          <w:rFonts w:ascii="Arial" w:hAnsi="Arial"/>
          <w:sz w:val="20"/>
        </w:rPr>
        <w:t>ff for troubleshooting purposes</w:t>
      </w:r>
    </w:p>
    <w:p w14:paraId="7CCE19E7" w14:textId="6AADBA79" w:rsidR="00D4465A" w:rsidRDefault="00D4465A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Period</w:t>
      </w:r>
      <w:r w:rsidR="00B7413D">
        <w:rPr>
          <w:rFonts w:ascii="Arial" w:hAnsi="Arial"/>
          <w:sz w:val="20"/>
        </w:rPr>
        <w:t>ic</w:t>
      </w:r>
      <w:r>
        <w:rPr>
          <w:rFonts w:ascii="Arial" w:hAnsi="Arial"/>
          <w:sz w:val="20"/>
        </w:rPr>
        <w:t xml:space="preserve"> inventories</w:t>
      </w:r>
      <w:r w:rsidR="00B7413D">
        <w:rPr>
          <w:rFonts w:ascii="Arial" w:hAnsi="Arial"/>
          <w:sz w:val="20"/>
        </w:rPr>
        <w:t xml:space="preserve"> at a minimum on an annual basis</w:t>
      </w:r>
      <w:r>
        <w:rPr>
          <w:rFonts w:ascii="Arial" w:hAnsi="Arial"/>
          <w:sz w:val="20"/>
        </w:rPr>
        <w:t xml:space="preserve"> of assets are conducted to ensure that all assets are accounted for, installed in their designated location and that</w:t>
      </w:r>
      <w:r w:rsidR="00124835">
        <w:rPr>
          <w:rFonts w:ascii="Arial" w:hAnsi="Arial"/>
          <w:sz w:val="20"/>
        </w:rPr>
        <w:t xml:space="preserve"> no unknown assets are detected</w:t>
      </w:r>
    </w:p>
    <w:p w14:paraId="186886EF" w14:textId="5FBBFEE0" w:rsidR="00D4465A" w:rsidRDefault="00D4465A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As required by PCI</w:t>
      </w:r>
      <w:r w:rsidR="0098341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assets supporting credit card transaction processing are labeled to indicate: </w:t>
      </w:r>
      <w:r w:rsidRPr="00F96BAC">
        <w:rPr>
          <w:rFonts w:ascii="Arial" w:hAnsi="Arial"/>
          <w:sz w:val="20"/>
        </w:rPr>
        <w:t>owner, contact information and purpose</w:t>
      </w:r>
      <w:r>
        <w:rPr>
          <w:rFonts w:ascii="Arial" w:hAnsi="Arial"/>
          <w:sz w:val="20"/>
        </w:rPr>
        <w:t xml:space="preserve"> unless deemed out-of-scope either due to meeting PCI point-to-point encryption requirements or a component of an off-network processing solution (i.e., completely indepe</w:t>
      </w:r>
      <w:r w:rsidR="00124835">
        <w:rPr>
          <w:rFonts w:ascii="Arial" w:hAnsi="Arial"/>
          <w:sz w:val="20"/>
        </w:rPr>
        <w:t>ndent from the company network)</w:t>
      </w:r>
    </w:p>
    <w:p w14:paraId="7D0D41F5" w14:textId="61FB9D5B" w:rsidR="00D4465A" w:rsidRDefault="00D4465A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As required by HIPAA</w:t>
      </w:r>
      <w:r w:rsidR="00B7413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assets that handle</w:t>
      </w:r>
      <w:r w:rsidR="00321F9E">
        <w:rPr>
          <w:rFonts w:ascii="Arial" w:hAnsi="Arial"/>
          <w:sz w:val="20"/>
        </w:rPr>
        <w:t xml:space="preserve"> Electronic Protected Health </w:t>
      </w:r>
      <w:r w:rsidR="00074077">
        <w:rPr>
          <w:rFonts w:ascii="Arial" w:hAnsi="Arial"/>
          <w:sz w:val="20"/>
        </w:rPr>
        <w:t>Information (</w:t>
      </w:r>
      <w:r>
        <w:rPr>
          <w:rFonts w:ascii="Arial" w:hAnsi="Arial"/>
          <w:sz w:val="20"/>
        </w:rPr>
        <w:t>ePHI</w:t>
      </w:r>
      <w:r w:rsidR="00321F9E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must be identified as such along with physical location in the</w:t>
      </w:r>
      <w:r w:rsidR="005D5896">
        <w:rPr>
          <w:rFonts w:ascii="Arial" w:hAnsi="Arial"/>
          <w:sz w:val="20"/>
        </w:rPr>
        <w:t xml:space="preserve"> asset</w:t>
      </w:r>
      <w:r w:rsidR="00124835">
        <w:rPr>
          <w:rFonts w:ascii="Arial" w:hAnsi="Arial"/>
          <w:sz w:val="20"/>
        </w:rPr>
        <w:t xml:space="preserve"> inventory</w:t>
      </w:r>
    </w:p>
    <w:p w14:paraId="7485EE33" w14:textId="653BF23C" w:rsidR="00D4465A" w:rsidRDefault="00D4465A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Any “rogue” or unanticipated assets found during inventory will immediately be taken out of service and result in a security incident report and, as appropriate, quarantine</w:t>
      </w:r>
      <w:r w:rsidR="00B7413D">
        <w:rPr>
          <w:rFonts w:ascii="Arial" w:hAnsi="Arial"/>
          <w:sz w:val="20"/>
        </w:rPr>
        <w:t>d, scanned,</w:t>
      </w:r>
      <w:r>
        <w:rPr>
          <w:rFonts w:ascii="Arial" w:hAnsi="Arial"/>
          <w:sz w:val="20"/>
        </w:rPr>
        <w:t xml:space="preserve"> and an investigation involving </w:t>
      </w:r>
      <w:r w:rsidR="00074077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company</w:t>
      </w:r>
      <w:r w:rsidR="00B7413D">
        <w:rPr>
          <w:rFonts w:ascii="Arial" w:hAnsi="Arial"/>
          <w:sz w:val="20"/>
        </w:rPr>
        <w:t>,</w:t>
      </w:r>
      <w:r w:rsidR="00124835">
        <w:rPr>
          <w:rFonts w:ascii="Arial" w:hAnsi="Arial"/>
          <w:sz w:val="20"/>
        </w:rPr>
        <w:t xml:space="preserve"> police and legal</w:t>
      </w:r>
    </w:p>
    <w:p w14:paraId="5110012E" w14:textId="0EC1B8D7" w:rsidR="00D4465A" w:rsidRDefault="00D4465A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Any missing or </w:t>
      </w:r>
      <w:r w:rsidR="00124835">
        <w:rPr>
          <w:rFonts w:ascii="Arial" w:hAnsi="Arial"/>
          <w:sz w:val="20"/>
        </w:rPr>
        <w:t>unaccounted-for</w:t>
      </w:r>
      <w:r>
        <w:rPr>
          <w:rFonts w:ascii="Arial" w:hAnsi="Arial"/>
          <w:sz w:val="20"/>
        </w:rPr>
        <w:t xml:space="preserve"> assets will result in a security incident report and may involve </w:t>
      </w:r>
      <w:r w:rsidR="00074077">
        <w:rPr>
          <w:rFonts w:ascii="Arial" w:hAnsi="Arial"/>
          <w:sz w:val="20"/>
        </w:rPr>
        <w:t>the company,</w:t>
      </w:r>
      <w:r w:rsidR="0002014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police and legal if a suspected/actual the</w:t>
      </w:r>
      <w:r w:rsidR="00124835">
        <w:rPr>
          <w:rFonts w:ascii="Arial" w:hAnsi="Arial"/>
          <w:sz w:val="20"/>
        </w:rPr>
        <w:t>ft has occurred</w:t>
      </w:r>
    </w:p>
    <w:p w14:paraId="6E0A15DA" w14:textId="6B7D5B33" w:rsidR="00D4465A" w:rsidRDefault="00D4465A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Results of the periodic asset inventories are documented and made available as input to depreciation schedules, obsolesce planning and I</w:t>
      </w:r>
      <w:r w:rsidR="00124835">
        <w:rPr>
          <w:rFonts w:ascii="Arial" w:hAnsi="Arial"/>
          <w:sz w:val="20"/>
        </w:rPr>
        <w:t>T/general budgeting initiatives</w:t>
      </w:r>
    </w:p>
    <w:p w14:paraId="00A84A9F" w14:textId="4B194665" w:rsidR="00D4465A" w:rsidRPr="00F27B41" w:rsidRDefault="00D4465A" w:rsidP="00D4465A">
      <w:pPr>
        <w:widowControl w:val="0"/>
        <w:numPr>
          <w:ilvl w:val="0"/>
          <w:numId w:val="3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information technology asset acquisitions must follow a formal process that involves appropriate IT staff in the decision-making process.  If none of the assets on the approved products list meet the criteria the asset (make/model) must be added to the list before funds</w:t>
      </w:r>
      <w:r w:rsidR="00124835">
        <w:rPr>
          <w:rFonts w:ascii="Arial" w:hAnsi="Arial"/>
          <w:sz w:val="20"/>
        </w:rPr>
        <w:t xml:space="preserve"> are committed to its purchase</w:t>
      </w:r>
    </w:p>
    <w:p w14:paraId="63D6CC71" w14:textId="77777777" w:rsidR="00E02805" w:rsidRDefault="00E02805" w:rsidP="000859C7">
      <w:pPr>
        <w:widowControl w:val="0"/>
        <w:spacing w:before="120"/>
        <w:rPr>
          <w:rFonts w:ascii="Arial" w:hAnsi="Arial" w:cs="Arial"/>
          <w:b/>
          <w:sz w:val="22"/>
          <w:szCs w:val="20"/>
        </w:rPr>
      </w:pPr>
    </w:p>
    <w:p w14:paraId="426DFDC4" w14:textId="77777777" w:rsidR="00E02805" w:rsidRPr="001E49EA" w:rsidRDefault="00E02805" w:rsidP="000859C7">
      <w:pPr>
        <w:widowControl w:val="0"/>
        <w:spacing w:before="120"/>
        <w:rPr>
          <w:rFonts w:ascii="Arial" w:hAnsi="Arial" w:cs="Arial"/>
          <w:b/>
          <w:sz w:val="22"/>
          <w:szCs w:val="20"/>
        </w:rPr>
      </w:pPr>
      <w:r w:rsidRPr="001E49EA">
        <w:rPr>
          <w:rFonts w:ascii="Arial" w:hAnsi="Arial" w:cs="Arial"/>
          <w:b/>
          <w:sz w:val="22"/>
          <w:szCs w:val="20"/>
        </w:rPr>
        <w:t>RESPONSIBILITIES</w:t>
      </w:r>
    </w:p>
    <w:p w14:paraId="10AD2591" w14:textId="77777777" w:rsidR="00E02805" w:rsidRPr="001E49EA" w:rsidRDefault="00E02805" w:rsidP="00500B3B">
      <w:pPr>
        <w:widowControl w:val="0"/>
        <w:tabs>
          <w:tab w:val="left" w:pos="3192"/>
        </w:tabs>
        <w:spacing w:before="120"/>
        <w:rPr>
          <w:rFonts w:ascii="Arial" w:hAnsi="Arial" w:cs="Arial"/>
          <w:sz w:val="20"/>
          <w:szCs w:val="20"/>
        </w:rPr>
      </w:pPr>
      <w:r w:rsidRPr="001E49EA">
        <w:rPr>
          <w:rFonts w:ascii="Arial" w:hAnsi="Arial" w:cs="Arial"/>
          <w:sz w:val="20"/>
          <w:szCs w:val="20"/>
        </w:rPr>
        <w:tab/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2745"/>
        <w:gridCol w:w="7425"/>
      </w:tblGrid>
      <w:tr w:rsidR="00E02805" w:rsidRPr="001E49EA" w14:paraId="1A3B3759" w14:textId="77777777" w:rsidTr="003562D0">
        <w:trPr>
          <w:cantSplit/>
          <w:tblHeader/>
          <w:jc w:val="center"/>
        </w:trPr>
        <w:tc>
          <w:tcPr>
            <w:tcW w:w="2745" w:type="dxa"/>
            <w:shd w:val="clear" w:color="auto" w:fill="C6D9F1"/>
            <w:vAlign w:val="center"/>
          </w:tcPr>
          <w:p w14:paraId="5D86EB97" w14:textId="77777777" w:rsidR="00E02805" w:rsidRPr="001E49EA" w:rsidRDefault="00E02805" w:rsidP="002A538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EA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7425" w:type="dxa"/>
            <w:shd w:val="clear" w:color="auto" w:fill="C6D9F1"/>
            <w:vAlign w:val="center"/>
          </w:tcPr>
          <w:p w14:paraId="1C08D760" w14:textId="77777777" w:rsidR="00E02805" w:rsidRPr="001E49EA" w:rsidRDefault="00E02805" w:rsidP="002A538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9EA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D4465A" w:rsidRPr="001E49EA" w14:paraId="04EA92A8" w14:textId="77777777" w:rsidTr="003562D0">
        <w:trPr>
          <w:cantSplit/>
          <w:jc w:val="center"/>
        </w:trPr>
        <w:tc>
          <w:tcPr>
            <w:tcW w:w="2745" w:type="dxa"/>
            <w:vAlign w:val="center"/>
          </w:tcPr>
          <w:p w14:paraId="6CC71105" w14:textId="74EF0A19" w:rsidR="00D4465A" w:rsidRPr="006B6FB2" w:rsidRDefault="000C4977" w:rsidP="002A5383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7425" w:type="dxa"/>
            <w:vAlign w:val="center"/>
          </w:tcPr>
          <w:p w14:paraId="2BE4D5CB" w14:textId="3600F3E6" w:rsidR="00D4465A" w:rsidRPr="006B6FB2" w:rsidRDefault="00D4465A" w:rsidP="002A5383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formal request process for informat</w:t>
            </w:r>
            <w:r w:rsidR="00124835">
              <w:rPr>
                <w:rFonts w:ascii="Arial" w:hAnsi="Arial" w:cs="Arial"/>
                <w:sz w:val="20"/>
                <w:szCs w:val="20"/>
              </w:rPr>
              <w:t xml:space="preserve">ion technology asset requests. </w:t>
            </w:r>
            <w:r>
              <w:rPr>
                <w:rFonts w:ascii="Arial" w:hAnsi="Arial" w:cs="Arial"/>
                <w:sz w:val="20"/>
                <w:szCs w:val="20"/>
              </w:rPr>
              <w:t>Do not move or connect/disconnect information technology assets unless explicitly authorized to do so by IT staff for troubleshooting purposes.</w:t>
            </w:r>
          </w:p>
        </w:tc>
      </w:tr>
      <w:tr w:rsidR="002A5383" w:rsidRPr="001E49EA" w14:paraId="6DF20700" w14:textId="77777777" w:rsidTr="00691AF8">
        <w:trPr>
          <w:cantSplit/>
          <w:jc w:val="center"/>
        </w:trPr>
        <w:tc>
          <w:tcPr>
            <w:tcW w:w="2745" w:type="dxa"/>
            <w:vAlign w:val="center"/>
          </w:tcPr>
          <w:p w14:paraId="63FB914A" w14:textId="7A3E8A3C" w:rsidR="002A5383" w:rsidRPr="006B6FB2" w:rsidRDefault="002A5383" w:rsidP="000C4977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0C4977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7425" w:type="dxa"/>
            <w:vAlign w:val="center"/>
          </w:tcPr>
          <w:p w14:paraId="4501B7B9" w14:textId="1452DA7C" w:rsidR="002A5383" w:rsidRPr="006B6FB2" w:rsidRDefault="002A5383" w:rsidP="00691AF8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the results of IT asset inventories are accounted for in: </w:t>
            </w:r>
            <w:r>
              <w:rPr>
                <w:rFonts w:ascii="Arial" w:hAnsi="Arial"/>
                <w:sz w:val="20"/>
              </w:rPr>
              <w:t>depreciation schedules, obsolesce planning and IT/general budgeting initiatives</w:t>
            </w:r>
            <w:r w:rsidR="00124835">
              <w:rPr>
                <w:rFonts w:ascii="Arial" w:hAnsi="Arial"/>
                <w:sz w:val="20"/>
              </w:rPr>
              <w:t>.</w:t>
            </w:r>
          </w:p>
        </w:tc>
      </w:tr>
      <w:tr w:rsidR="00D4465A" w:rsidRPr="001E49EA" w14:paraId="293E5698" w14:textId="77777777" w:rsidTr="003562D0">
        <w:trPr>
          <w:cantSplit/>
          <w:trHeight w:val="251"/>
          <w:jc w:val="center"/>
        </w:trPr>
        <w:tc>
          <w:tcPr>
            <w:tcW w:w="2745" w:type="dxa"/>
            <w:vAlign w:val="center"/>
          </w:tcPr>
          <w:p w14:paraId="3608FC91" w14:textId="12C996F6" w:rsidR="00D4465A" w:rsidRPr="006B6FB2" w:rsidRDefault="00D4465A" w:rsidP="002A5383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Security Officer</w:t>
            </w:r>
          </w:p>
        </w:tc>
        <w:tc>
          <w:tcPr>
            <w:tcW w:w="7425" w:type="dxa"/>
            <w:vAlign w:val="center"/>
          </w:tcPr>
          <w:p w14:paraId="11CE0FBC" w14:textId="22EA22A2" w:rsidR="00D4465A" w:rsidRPr="006B6FB2" w:rsidRDefault="00D4465A" w:rsidP="002A5383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up-to-date asset inventories are maintained; periodic asset inventories are conducted, and manage security incident activities related to information technology assets as appropriate.</w:t>
            </w:r>
          </w:p>
        </w:tc>
      </w:tr>
    </w:tbl>
    <w:p w14:paraId="05FD488C" w14:textId="77777777" w:rsidR="00E02805" w:rsidRDefault="00E02805" w:rsidP="00203C33">
      <w:pPr>
        <w:widowControl w:val="0"/>
        <w:spacing w:before="120"/>
        <w:rPr>
          <w:rFonts w:ascii="Arial" w:hAnsi="Arial" w:cs="Arial"/>
          <w:b/>
          <w:sz w:val="22"/>
          <w:szCs w:val="20"/>
        </w:rPr>
      </w:pPr>
    </w:p>
    <w:p w14:paraId="12D39A97" w14:textId="77777777" w:rsidR="004D6C2C" w:rsidRDefault="004D6C2C" w:rsidP="004D6C2C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14:paraId="5ADE5611" w14:textId="77777777" w:rsidR="004D6C2C" w:rsidRDefault="004D6C2C" w:rsidP="004D6C2C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44"/>
        <w:gridCol w:w="7654"/>
      </w:tblGrid>
      <w:tr w:rsidR="004D6C2C" w14:paraId="6C1FCDD7" w14:textId="77777777" w:rsidTr="004D6C2C">
        <w:trPr>
          <w:cantSplit/>
          <w:trHeight w:val="29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98A165" w14:textId="77777777" w:rsidR="004D6C2C" w:rsidRDefault="004D6C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Frameworks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63A6" w14:textId="77777777" w:rsidR="004D6C2C" w:rsidRDefault="004D6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2C" w14:paraId="61DE76DA" w14:textId="77777777" w:rsidTr="004D6C2C">
        <w:trPr>
          <w:cantSplit/>
          <w:trHeight w:val="53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289896" w14:textId="77777777" w:rsidR="004D6C2C" w:rsidRDefault="004D6C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Regulations and Requirements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01F" w14:textId="77777777" w:rsidR="004D6C2C" w:rsidRDefault="004D6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2C" w14:paraId="29BEB763" w14:textId="77777777" w:rsidTr="004D6C2C">
        <w:trPr>
          <w:cantSplit/>
          <w:trHeight w:val="2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82711F" w14:textId="77777777" w:rsidR="004D6C2C" w:rsidRDefault="004D6C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Supporting Standards and Procedures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9A0" w14:textId="77777777" w:rsidR="004D6C2C" w:rsidRDefault="004D6C2C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0D4D25D" w14:textId="77777777" w:rsidR="00E02805" w:rsidRDefault="00E02805" w:rsidP="00203C33">
      <w:pPr>
        <w:widowControl w:val="0"/>
        <w:spacing w:before="120"/>
        <w:rPr>
          <w:rFonts w:ascii="Arial" w:hAnsi="Arial" w:cs="Arial"/>
          <w:b/>
          <w:sz w:val="22"/>
          <w:szCs w:val="20"/>
        </w:rPr>
      </w:pPr>
    </w:p>
    <w:p w14:paraId="5F9719C4" w14:textId="77777777" w:rsidR="00E02805" w:rsidRPr="001E49EA" w:rsidRDefault="00E02805" w:rsidP="00203C33">
      <w:pPr>
        <w:widowControl w:val="0"/>
        <w:spacing w:before="120"/>
        <w:rPr>
          <w:rFonts w:ascii="Arial" w:hAnsi="Arial" w:cs="Arial"/>
          <w:b/>
          <w:sz w:val="22"/>
          <w:szCs w:val="20"/>
        </w:rPr>
      </w:pPr>
      <w:r w:rsidRPr="001E49EA">
        <w:rPr>
          <w:rFonts w:ascii="Arial" w:hAnsi="Arial" w:cs="Arial"/>
          <w:b/>
          <w:sz w:val="22"/>
          <w:szCs w:val="20"/>
        </w:rPr>
        <w:lastRenderedPageBreak/>
        <w:t>REVISION HISTORY</w:t>
      </w:r>
    </w:p>
    <w:p w14:paraId="408B17D3" w14:textId="77777777" w:rsidR="007C65E7" w:rsidRPr="00CD7DDE" w:rsidRDefault="007C65E7" w:rsidP="007C65E7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CD7DDE">
        <w:rPr>
          <w:rFonts w:ascii="Arial" w:hAnsi="Arial" w:cs="Arial"/>
          <w:color w:val="000000"/>
          <w:sz w:val="20"/>
          <w:szCs w:val="20"/>
        </w:rPr>
        <w:t>This section contains comments on any revisions that were made to this document and the date they were made.</w:t>
      </w:r>
    </w:p>
    <w:p w14:paraId="03DE008A" w14:textId="77777777" w:rsidR="00E02805" w:rsidRPr="001E49EA" w:rsidRDefault="00E02805" w:rsidP="00203C33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1068"/>
        <w:gridCol w:w="2340"/>
        <w:gridCol w:w="3021"/>
        <w:gridCol w:w="3728"/>
      </w:tblGrid>
      <w:tr w:rsidR="00E02805" w:rsidRPr="001E49EA" w14:paraId="39AEF71E" w14:textId="77777777">
        <w:trPr>
          <w:cantSplit/>
          <w:tblHeader/>
          <w:jc w:val="center"/>
        </w:trPr>
        <w:tc>
          <w:tcPr>
            <w:tcW w:w="1068" w:type="dxa"/>
            <w:shd w:val="clear" w:color="auto" w:fill="C6D9F1"/>
            <w:vAlign w:val="center"/>
          </w:tcPr>
          <w:p w14:paraId="76C74E59" w14:textId="77777777" w:rsidR="00E02805" w:rsidRPr="00442D69" w:rsidRDefault="00E02805" w:rsidP="002A538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Revision Number</w:t>
            </w:r>
          </w:p>
        </w:tc>
        <w:tc>
          <w:tcPr>
            <w:tcW w:w="2340" w:type="dxa"/>
            <w:shd w:val="clear" w:color="auto" w:fill="C6D9F1"/>
            <w:vAlign w:val="center"/>
          </w:tcPr>
          <w:p w14:paraId="5715B094" w14:textId="1F7CFFF6" w:rsidR="00E02805" w:rsidRPr="00442D69" w:rsidRDefault="00E02805" w:rsidP="002A538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021" w:type="dxa"/>
            <w:shd w:val="clear" w:color="auto" w:fill="C6D9F1"/>
            <w:vAlign w:val="center"/>
          </w:tcPr>
          <w:p w14:paraId="76240E88" w14:textId="77777777" w:rsidR="00E02805" w:rsidRPr="00442D69" w:rsidRDefault="00E02805" w:rsidP="002A538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728" w:type="dxa"/>
            <w:shd w:val="clear" w:color="auto" w:fill="C6D9F1"/>
            <w:vAlign w:val="center"/>
          </w:tcPr>
          <w:p w14:paraId="604E5F68" w14:textId="77777777" w:rsidR="00E02805" w:rsidRPr="00442D69" w:rsidRDefault="00E02805" w:rsidP="002A538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2D6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E02805" w:rsidRPr="00203C33" w14:paraId="7D890496" w14:textId="77777777">
        <w:trPr>
          <w:jc w:val="center"/>
        </w:trPr>
        <w:tc>
          <w:tcPr>
            <w:tcW w:w="1068" w:type="dxa"/>
            <w:vAlign w:val="center"/>
          </w:tcPr>
          <w:p w14:paraId="084B07AD" w14:textId="404AD63D" w:rsidR="00E02805" w:rsidRPr="00442D69" w:rsidRDefault="00124835" w:rsidP="002A53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340" w:type="dxa"/>
            <w:vAlign w:val="center"/>
          </w:tcPr>
          <w:p w14:paraId="41724027" w14:textId="00DB77A0" w:rsidR="00E02805" w:rsidRPr="00442D69" w:rsidRDefault="00124835" w:rsidP="002A53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DateV</w:t>
            </w:r>
          </w:p>
        </w:tc>
        <w:tc>
          <w:tcPr>
            <w:tcW w:w="3021" w:type="dxa"/>
            <w:vAlign w:val="center"/>
          </w:tcPr>
          <w:p w14:paraId="5713FCDF" w14:textId="08FC7F74" w:rsidR="00E02805" w:rsidRPr="00442D69" w:rsidRDefault="00E02805" w:rsidP="002A538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vAlign w:val="center"/>
          </w:tcPr>
          <w:p w14:paraId="34D8D5A6" w14:textId="43BE962B" w:rsidR="00E02805" w:rsidRPr="00442D69" w:rsidRDefault="00124835" w:rsidP="0012483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Initial Version</w:t>
            </w:r>
          </w:p>
        </w:tc>
      </w:tr>
    </w:tbl>
    <w:p w14:paraId="7055ACE8" w14:textId="77777777" w:rsidR="00E02805" w:rsidRDefault="00E02805" w:rsidP="00D528AC">
      <w:pPr>
        <w:widowControl w:val="0"/>
        <w:spacing w:before="120"/>
        <w:rPr>
          <w:rFonts w:ascii="Arial" w:hAnsi="Arial" w:cs="Arial"/>
          <w:sz w:val="20"/>
          <w:szCs w:val="20"/>
        </w:rPr>
      </w:pPr>
    </w:p>
    <w:sectPr w:rsidR="00E02805" w:rsidSect="00DF6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5193" w14:textId="77777777" w:rsidR="00AE1678" w:rsidRDefault="00AE1678">
      <w:r>
        <w:separator/>
      </w:r>
    </w:p>
  </w:endnote>
  <w:endnote w:type="continuationSeparator" w:id="0">
    <w:p w14:paraId="40184E0F" w14:textId="77777777" w:rsidR="00AE1678" w:rsidRDefault="00AE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BB4E" w14:textId="77777777" w:rsidR="005923D0" w:rsidRDefault="00592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3" w:type="dxa"/>
      <w:tblBorders>
        <w:top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  <w:tblLook w:val="00A0" w:firstRow="1" w:lastRow="0" w:firstColumn="1" w:lastColumn="0" w:noHBand="0" w:noVBand="0"/>
    </w:tblPr>
    <w:tblGrid>
      <w:gridCol w:w="2203"/>
      <w:gridCol w:w="5040"/>
      <w:gridCol w:w="2160"/>
    </w:tblGrid>
    <w:tr w:rsidR="00E02805" w:rsidRPr="00D10572" w14:paraId="2C1AB7C3" w14:textId="77777777" w:rsidTr="00AB5052">
      <w:tc>
        <w:tcPr>
          <w:tcW w:w="2203" w:type="dxa"/>
          <w:tcBorders>
            <w:top w:val="single" w:sz="4" w:space="0" w:color="auto"/>
          </w:tcBorders>
          <w:vAlign w:val="center"/>
        </w:tcPr>
        <w:p w14:paraId="38D97A3C" w14:textId="77777777" w:rsidR="00E02805" w:rsidRPr="00D10572" w:rsidRDefault="00E02805" w:rsidP="00800FA0">
          <w:pPr>
            <w:pStyle w:val="Footer"/>
            <w:rPr>
              <w:b/>
              <w:sz w:val="18"/>
              <w:szCs w:val="18"/>
            </w:rPr>
          </w:pPr>
          <w:r w:rsidRPr="00D10572">
            <w:rPr>
              <w:rStyle w:val="PageNumber"/>
              <w:rFonts w:ascii="Arial" w:hAnsi="Arial" w:cs="Arial"/>
              <w:b/>
              <w:sz w:val="18"/>
              <w:szCs w:val="18"/>
            </w:rPr>
            <w:t>Confidential</w:t>
          </w:r>
        </w:p>
      </w:tc>
      <w:tc>
        <w:tcPr>
          <w:tcW w:w="5040" w:type="dxa"/>
          <w:tcBorders>
            <w:top w:val="single" w:sz="4" w:space="0" w:color="auto"/>
          </w:tcBorders>
        </w:tcPr>
        <w:p w14:paraId="0A332A64" w14:textId="11DE92E8" w:rsidR="00E02805" w:rsidRPr="00D10572" w:rsidRDefault="007D289C" w:rsidP="005127B5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CompanyName</w:t>
          </w:r>
          <w:r w:rsidR="00E02805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14:paraId="67EDE297" w14:textId="462D939F" w:rsidR="00E02805" w:rsidRPr="00D10572" w:rsidRDefault="00E02805" w:rsidP="00800FA0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t xml:space="preserve">Page </w:t>
          </w: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124835">
            <w:rPr>
              <w:rStyle w:val="PageNumber"/>
              <w:rFonts w:ascii="Arial" w:hAnsi="Arial" w:cs="Arial"/>
              <w:noProof/>
              <w:sz w:val="18"/>
              <w:szCs w:val="18"/>
            </w:rPr>
            <w:t>3</w:t>
          </w: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124835">
            <w:rPr>
              <w:rStyle w:val="PageNumber"/>
              <w:rFonts w:ascii="Arial" w:hAnsi="Arial" w:cs="Arial"/>
              <w:noProof/>
              <w:sz w:val="18"/>
              <w:szCs w:val="18"/>
            </w:rPr>
            <w:t>3</w:t>
          </w:r>
          <w:r w:rsidRPr="00D10572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80885D0" w14:textId="77777777" w:rsidR="00E02805" w:rsidRPr="00C1166B" w:rsidRDefault="00E02805" w:rsidP="00C1166B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54FC" w14:textId="77777777" w:rsidR="005923D0" w:rsidRDefault="00592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62A7" w14:textId="77777777" w:rsidR="00AE1678" w:rsidRDefault="00AE1678">
      <w:r>
        <w:separator/>
      </w:r>
    </w:p>
  </w:footnote>
  <w:footnote w:type="continuationSeparator" w:id="0">
    <w:p w14:paraId="48EB5C84" w14:textId="77777777" w:rsidR="00AE1678" w:rsidRDefault="00AE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BDF1" w14:textId="77777777" w:rsidR="005923D0" w:rsidRDefault="00592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-432" w:type="dxa"/>
      <w:tblBorders>
        <w:bottom w:val="single" w:sz="4" w:space="0" w:color="auto"/>
      </w:tblBorders>
      <w:tblLayout w:type="fixed"/>
      <w:tblCellMar>
        <w:top w:w="43" w:type="dxa"/>
        <w:left w:w="43" w:type="dxa"/>
        <w:bottom w:w="43" w:type="dxa"/>
        <w:right w:w="43" w:type="dxa"/>
      </w:tblCellMar>
      <w:tblLook w:val="01E0" w:firstRow="1" w:lastRow="1" w:firstColumn="1" w:lastColumn="1" w:noHBand="0" w:noVBand="0"/>
    </w:tblPr>
    <w:tblGrid>
      <w:gridCol w:w="1440"/>
      <w:gridCol w:w="1890"/>
      <w:gridCol w:w="2070"/>
      <w:gridCol w:w="720"/>
      <w:gridCol w:w="3420"/>
    </w:tblGrid>
    <w:tr w:rsidR="00E02805" w14:paraId="5745CABB" w14:textId="77777777" w:rsidTr="00800FA0">
      <w:tc>
        <w:tcPr>
          <w:tcW w:w="1440" w:type="dxa"/>
          <w:vMerge w:val="restart"/>
          <w:vAlign w:val="center"/>
        </w:tcPr>
        <w:p w14:paraId="2BC9DC14" w14:textId="746F8986" w:rsidR="00E02805" w:rsidRPr="00E30D05" w:rsidRDefault="007D289C" w:rsidP="00800FA0">
          <w:pPr>
            <w:pStyle w:val="Header"/>
            <w:ind w:left="-9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LOGO</w:t>
          </w:r>
        </w:p>
      </w:tc>
      <w:tc>
        <w:tcPr>
          <w:tcW w:w="8100" w:type="dxa"/>
          <w:gridSpan w:val="4"/>
          <w:vAlign w:val="center"/>
        </w:tcPr>
        <w:p w14:paraId="7A0CC746" w14:textId="77777777" w:rsidR="00E02805" w:rsidRPr="00500B3B" w:rsidRDefault="00E02805" w:rsidP="00800FA0">
          <w:pPr>
            <w:pStyle w:val="Header"/>
            <w:rPr>
              <w:rFonts w:ascii="Arial" w:hAnsi="Arial" w:cs="Arial"/>
              <w:color w:val="000000"/>
              <w:sz w:val="36"/>
              <w:szCs w:val="20"/>
            </w:rPr>
          </w:pPr>
          <w:r w:rsidRPr="00500B3B">
            <w:rPr>
              <w:rFonts w:ascii="Arial" w:hAnsi="Arial" w:cs="Arial"/>
              <w:b/>
              <w:color w:val="000000"/>
              <w:sz w:val="36"/>
            </w:rPr>
            <w:t>IT Policy</w:t>
          </w:r>
        </w:p>
      </w:tc>
    </w:tr>
    <w:tr w:rsidR="00E02805" w14:paraId="4F6DE655" w14:textId="77777777" w:rsidTr="00800FA0">
      <w:tc>
        <w:tcPr>
          <w:tcW w:w="1440" w:type="dxa"/>
          <w:vMerge/>
          <w:tcBorders>
            <w:bottom w:val="nil"/>
          </w:tcBorders>
          <w:vAlign w:val="center"/>
        </w:tcPr>
        <w:p w14:paraId="2B7F3CFB" w14:textId="77777777" w:rsidR="00E02805" w:rsidRDefault="00E02805" w:rsidP="00800FA0">
          <w:pPr>
            <w:pStyle w:val="Header"/>
            <w:rPr>
              <w:rFonts w:ascii="Arial" w:hAnsi="Arial" w:cs="Arial"/>
            </w:rPr>
          </w:pPr>
        </w:p>
      </w:tc>
      <w:tc>
        <w:tcPr>
          <w:tcW w:w="8100" w:type="dxa"/>
          <w:gridSpan w:val="4"/>
          <w:tcBorders>
            <w:bottom w:val="single" w:sz="4" w:space="0" w:color="auto"/>
          </w:tcBorders>
          <w:vAlign w:val="center"/>
        </w:tcPr>
        <w:p w14:paraId="4B5322E1" w14:textId="18EDD643" w:rsidR="00E02805" w:rsidRDefault="00E02805" w:rsidP="00D4465A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A</w:t>
          </w:r>
          <w:r w:rsidR="00D4465A">
            <w:rPr>
              <w:rFonts w:ascii="Arial" w:hAnsi="Arial" w:cs="Arial"/>
              <w:b/>
              <w:sz w:val="28"/>
              <w:szCs w:val="28"/>
            </w:rPr>
            <w:t>sset Management Policy</w:t>
          </w:r>
        </w:p>
      </w:tc>
    </w:tr>
    <w:tr w:rsidR="00E02805" w14:paraId="69319ED5" w14:textId="77777777" w:rsidTr="00800FA0">
      <w:tc>
        <w:tcPr>
          <w:tcW w:w="1440" w:type="dxa"/>
          <w:tcBorders>
            <w:top w:val="nil"/>
            <w:bottom w:val="nil"/>
          </w:tcBorders>
          <w:vAlign w:val="center"/>
        </w:tcPr>
        <w:p w14:paraId="462A277D" w14:textId="77777777" w:rsidR="00E02805" w:rsidRDefault="00E02805" w:rsidP="00800FA0">
          <w:pPr>
            <w:pStyle w:val="Header"/>
            <w:rPr>
              <w:rFonts w:ascii="Arial" w:hAnsi="Arial" w:cs="Arial"/>
            </w:rPr>
          </w:pPr>
        </w:p>
      </w:tc>
      <w:tc>
        <w:tcPr>
          <w:tcW w:w="189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A39D3BB" w14:textId="77777777" w:rsidR="00E02805" w:rsidRDefault="00E02805" w:rsidP="00800FA0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Version:</w:t>
          </w:r>
        </w:p>
      </w:tc>
      <w:tc>
        <w:tcPr>
          <w:tcW w:w="207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77C874B" w14:textId="1653F83A" w:rsidR="00E02805" w:rsidRDefault="00124835" w:rsidP="004A10B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1.0</w:t>
          </w:r>
        </w:p>
      </w:tc>
      <w:tc>
        <w:tcPr>
          <w:tcW w:w="7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F5F4AB1" w14:textId="77777777" w:rsidR="00E02805" w:rsidRPr="007D289C" w:rsidRDefault="00E02805" w:rsidP="00800FA0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7D289C">
            <w:rPr>
              <w:rFonts w:ascii="Arial" w:hAnsi="Arial" w:cs="Arial"/>
              <w:sz w:val="20"/>
              <w:szCs w:val="20"/>
            </w:rPr>
            <w:t>Date:</w:t>
          </w:r>
        </w:p>
      </w:tc>
      <w:tc>
        <w:tcPr>
          <w:tcW w:w="34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5C171A6" w14:textId="25FF4E63" w:rsidR="00E02805" w:rsidRPr="007D289C" w:rsidRDefault="007D289C" w:rsidP="00D4465A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D289C">
            <w:rPr>
              <w:rFonts w:ascii="Arial" w:hAnsi="Arial" w:cs="Arial"/>
              <w:sz w:val="20"/>
              <w:szCs w:val="20"/>
            </w:rPr>
            <w:t>DateV</w:t>
          </w:r>
        </w:p>
      </w:tc>
    </w:tr>
  </w:tbl>
  <w:p w14:paraId="2FA72DB1" w14:textId="77777777" w:rsidR="00E02805" w:rsidRDefault="00E02805" w:rsidP="001574C2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4D09" w14:textId="77777777" w:rsidR="005923D0" w:rsidRDefault="00592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00"/>
    <w:multiLevelType w:val="hybridMultilevel"/>
    <w:tmpl w:val="F97E0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D4131C"/>
    <w:multiLevelType w:val="hybridMultilevel"/>
    <w:tmpl w:val="8236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97A71"/>
    <w:multiLevelType w:val="hybridMultilevel"/>
    <w:tmpl w:val="9DF400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636D4C"/>
    <w:multiLevelType w:val="hybridMultilevel"/>
    <w:tmpl w:val="9DF400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F53550"/>
    <w:multiLevelType w:val="hybridMultilevel"/>
    <w:tmpl w:val="1EC4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41D8A"/>
    <w:multiLevelType w:val="hybridMultilevel"/>
    <w:tmpl w:val="C7300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B49E2"/>
    <w:multiLevelType w:val="hybridMultilevel"/>
    <w:tmpl w:val="93E662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D42221"/>
    <w:multiLevelType w:val="hybridMultilevel"/>
    <w:tmpl w:val="2AC2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DB3B52"/>
    <w:multiLevelType w:val="hybridMultilevel"/>
    <w:tmpl w:val="D2A6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37362F"/>
    <w:multiLevelType w:val="hybridMultilevel"/>
    <w:tmpl w:val="C228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10F0B"/>
    <w:multiLevelType w:val="hybridMultilevel"/>
    <w:tmpl w:val="6B5E7A5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8B28FC"/>
    <w:multiLevelType w:val="hybridMultilevel"/>
    <w:tmpl w:val="0C6CCD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B31E3E"/>
    <w:multiLevelType w:val="hybridMultilevel"/>
    <w:tmpl w:val="D45C72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736F5"/>
    <w:multiLevelType w:val="hybridMultilevel"/>
    <w:tmpl w:val="D45C72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2A1A0E"/>
    <w:multiLevelType w:val="hybridMultilevel"/>
    <w:tmpl w:val="A1DC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5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9244F57"/>
    <w:multiLevelType w:val="hybridMultilevel"/>
    <w:tmpl w:val="82567D86"/>
    <w:lvl w:ilvl="0" w:tplc="B17EC4AE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93755"/>
    <w:multiLevelType w:val="hybridMultilevel"/>
    <w:tmpl w:val="FA86AE7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E85661"/>
    <w:multiLevelType w:val="multilevel"/>
    <w:tmpl w:val="1CF09468"/>
    <w:styleLink w:val="StyleHeading1SectionHeadingLeft2"/>
    <w:lvl w:ilvl="0">
      <w:start w:val="1"/>
      <w:numFmt w:val="none"/>
      <w:lvlText w:val="01.01"/>
      <w:lvlJc w:val="left"/>
      <w:pPr>
        <w:tabs>
          <w:tab w:val="num" w:pos="432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04E7B85"/>
    <w:multiLevelType w:val="hybridMultilevel"/>
    <w:tmpl w:val="CAC22448"/>
    <w:lvl w:ilvl="0" w:tplc="B17EC4AE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05AB"/>
    <w:multiLevelType w:val="hybridMultilevel"/>
    <w:tmpl w:val="5B424BC2"/>
    <w:lvl w:ilvl="0" w:tplc="B17EC4AE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D44FC"/>
    <w:multiLevelType w:val="multilevel"/>
    <w:tmpl w:val="50D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1055F"/>
    <w:multiLevelType w:val="hybridMultilevel"/>
    <w:tmpl w:val="5846CD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11C4355"/>
    <w:multiLevelType w:val="hybridMultilevel"/>
    <w:tmpl w:val="885A7930"/>
    <w:lvl w:ilvl="0" w:tplc="B17EC4AE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E37DC"/>
    <w:multiLevelType w:val="hybridMultilevel"/>
    <w:tmpl w:val="67C0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5C161D"/>
    <w:multiLevelType w:val="hybridMultilevel"/>
    <w:tmpl w:val="0172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DF0EC4"/>
    <w:multiLevelType w:val="hybridMultilevel"/>
    <w:tmpl w:val="3A26410E"/>
    <w:lvl w:ilvl="0" w:tplc="B17EC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A42F9"/>
    <w:multiLevelType w:val="hybridMultilevel"/>
    <w:tmpl w:val="1FB8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0237EE"/>
    <w:multiLevelType w:val="hybridMultilevel"/>
    <w:tmpl w:val="B016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538AF"/>
    <w:multiLevelType w:val="hybridMultilevel"/>
    <w:tmpl w:val="972CECA2"/>
    <w:lvl w:ilvl="0" w:tplc="B17EC4AE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92216"/>
    <w:multiLevelType w:val="hybridMultilevel"/>
    <w:tmpl w:val="B402547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069813585">
    <w:abstractNumId w:val="18"/>
  </w:num>
  <w:num w:numId="2" w16cid:durableId="420566434">
    <w:abstractNumId w:val="0"/>
  </w:num>
  <w:num w:numId="3" w16cid:durableId="2045593278">
    <w:abstractNumId w:val="26"/>
  </w:num>
  <w:num w:numId="4" w16cid:durableId="1744523493">
    <w:abstractNumId w:val="10"/>
  </w:num>
  <w:num w:numId="5" w16cid:durableId="1404377449">
    <w:abstractNumId w:val="27"/>
  </w:num>
  <w:num w:numId="6" w16cid:durableId="1225675686">
    <w:abstractNumId w:val="1"/>
  </w:num>
  <w:num w:numId="7" w16cid:durableId="1939368600">
    <w:abstractNumId w:val="8"/>
  </w:num>
  <w:num w:numId="8" w16cid:durableId="1928463984">
    <w:abstractNumId w:val="4"/>
  </w:num>
  <w:num w:numId="9" w16cid:durableId="385377744">
    <w:abstractNumId w:val="17"/>
  </w:num>
  <w:num w:numId="10" w16cid:durableId="1758210798">
    <w:abstractNumId w:val="3"/>
  </w:num>
  <w:num w:numId="11" w16cid:durableId="1056858336">
    <w:abstractNumId w:val="12"/>
  </w:num>
  <w:num w:numId="12" w16cid:durableId="1351761203">
    <w:abstractNumId w:val="30"/>
  </w:num>
  <w:num w:numId="13" w16cid:durableId="757865635">
    <w:abstractNumId w:val="6"/>
  </w:num>
  <w:num w:numId="14" w16cid:durableId="1334071501">
    <w:abstractNumId w:val="22"/>
  </w:num>
  <w:num w:numId="15" w16cid:durableId="791166321">
    <w:abstractNumId w:val="13"/>
  </w:num>
  <w:num w:numId="16" w16cid:durableId="1684041993">
    <w:abstractNumId w:val="2"/>
  </w:num>
  <w:num w:numId="17" w16cid:durableId="1440760060">
    <w:abstractNumId w:val="11"/>
  </w:num>
  <w:num w:numId="18" w16cid:durableId="1855069269">
    <w:abstractNumId w:val="9"/>
  </w:num>
  <w:num w:numId="19" w16cid:durableId="1538394945">
    <w:abstractNumId w:val="24"/>
  </w:num>
  <w:num w:numId="20" w16cid:durableId="2118715342">
    <w:abstractNumId w:val="25"/>
  </w:num>
  <w:num w:numId="21" w16cid:durableId="1995528435">
    <w:abstractNumId w:val="7"/>
  </w:num>
  <w:num w:numId="22" w16cid:durableId="1782604571">
    <w:abstractNumId w:val="15"/>
  </w:num>
  <w:num w:numId="23" w16cid:durableId="2091610230">
    <w:abstractNumId w:val="5"/>
  </w:num>
  <w:num w:numId="24" w16cid:durableId="574516985">
    <w:abstractNumId w:val="28"/>
  </w:num>
  <w:num w:numId="25" w16cid:durableId="74985161">
    <w:abstractNumId w:val="16"/>
  </w:num>
  <w:num w:numId="26" w16cid:durableId="1281182023">
    <w:abstractNumId w:val="19"/>
  </w:num>
  <w:num w:numId="27" w16cid:durableId="2099330717">
    <w:abstractNumId w:val="20"/>
  </w:num>
  <w:num w:numId="28" w16cid:durableId="847721341">
    <w:abstractNumId w:val="29"/>
  </w:num>
  <w:num w:numId="29" w16cid:durableId="1839613390">
    <w:abstractNumId w:val="23"/>
  </w:num>
  <w:num w:numId="30" w16cid:durableId="1020007695">
    <w:abstractNumId w:val="14"/>
  </w:num>
  <w:num w:numId="31" w16cid:durableId="10003579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F8"/>
    <w:rsid w:val="00003D20"/>
    <w:rsid w:val="00007059"/>
    <w:rsid w:val="0001454E"/>
    <w:rsid w:val="00020142"/>
    <w:rsid w:val="000206D3"/>
    <w:rsid w:val="0002173A"/>
    <w:rsid w:val="00022F86"/>
    <w:rsid w:val="00025CD0"/>
    <w:rsid w:val="00035B0D"/>
    <w:rsid w:val="000566E0"/>
    <w:rsid w:val="0005676E"/>
    <w:rsid w:val="000570EB"/>
    <w:rsid w:val="00064DC2"/>
    <w:rsid w:val="00066FD7"/>
    <w:rsid w:val="00067EB2"/>
    <w:rsid w:val="00074077"/>
    <w:rsid w:val="000859C7"/>
    <w:rsid w:val="000A5442"/>
    <w:rsid w:val="000B1AE3"/>
    <w:rsid w:val="000C4977"/>
    <w:rsid w:val="000D6346"/>
    <w:rsid w:val="000F46EF"/>
    <w:rsid w:val="0011263F"/>
    <w:rsid w:val="001214C1"/>
    <w:rsid w:val="00124835"/>
    <w:rsid w:val="00125790"/>
    <w:rsid w:val="00130FC4"/>
    <w:rsid w:val="00131A04"/>
    <w:rsid w:val="00141D9B"/>
    <w:rsid w:val="001470F9"/>
    <w:rsid w:val="001574C2"/>
    <w:rsid w:val="0016246C"/>
    <w:rsid w:val="00165786"/>
    <w:rsid w:val="00166106"/>
    <w:rsid w:val="00166E89"/>
    <w:rsid w:val="001705CA"/>
    <w:rsid w:val="00176F99"/>
    <w:rsid w:val="00186CCB"/>
    <w:rsid w:val="00193A53"/>
    <w:rsid w:val="00196523"/>
    <w:rsid w:val="001B2D70"/>
    <w:rsid w:val="001B4D85"/>
    <w:rsid w:val="001B6AC7"/>
    <w:rsid w:val="001C3751"/>
    <w:rsid w:val="001E3BA0"/>
    <w:rsid w:val="001E49EA"/>
    <w:rsid w:val="001E63C9"/>
    <w:rsid w:val="001F00BB"/>
    <w:rsid w:val="001F27C8"/>
    <w:rsid w:val="001F67B6"/>
    <w:rsid w:val="00203C33"/>
    <w:rsid w:val="00214A6D"/>
    <w:rsid w:val="0021713B"/>
    <w:rsid w:val="00237EAB"/>
    <w:rsid w:val="00240BD6"/>
    <w:rsid w:val="002574E8"/>
    <w:rsid w:val="0027364B"/>
    <w:rsid w:val="00280ADF"/>
    <w:rsid w:val="00280BEC"/>
    <w:rsid w:val="00281BA0"/>
    <w:rsid w:val="00283EFD"/>
    <w:rsid w:val="0028754E"/>
    <w:rsid w:val="00291E21"/>
    <w:rsid w:val="002A058A"/>
    <w:rsid w:val="002A32D0"/>
    <w:rsid w:val="002A494D"/>
    <w:rsid w:val="002A5383"/>
    <w:rsid w:val="002B7A91"/>
    <w:rsid w:val="002C0042"/>
    <w:rsid w:val="002D257E"/>
    <w:rsid w:val="002D49D3"/>
    <w:rsid w:val="002D706E"/>
    <w:rsid w:val="002E210A"/>
    <w:rsid w:val="002E6935"/>
    <w:rsid w:val="00313BBF"/>
    <w:rsid w:val="00314098"/>
    <w:rsid w:val="00321F9E"/>
    <w:rsid w:val="00330C5C"/>
    <w:rsid w:val="003321C3"/>
    <w:rsid w:val="003443FA"/>
    <w:rsid w:val="00344E02"/>
    <w:rsid w:val="0034648D"/>
    <w:rsid w:val="00352216"/>
    <w:rsid w:val="003562D0"/>
    <w:rsid w:val="0036225D"/>
    <w:rsid w:val="00365088"/>
    <w:rsid w:val="0037247F"/>
    <w:rsid w:val="0038031B"/>
    <w:rsid w:val="0038354D"/>
    <w:rsid w:val="00384ED1"/>
    <w:rsid w:val="00385233"/>
    <w:rsid w:val="003B352A"/>
    <w:rsid w:val="003B7EEC"/>
    <w:rsid w:val="003C45C6"/>
    <w:rsid w:val="003E057C"/>
    <w:rsid w:val="004006B2"/>
    <w:rsid w:val="00412D50"/>
    <w:rsid w:val="0041476D"/>
    <w:rsid w:val="004166EA"/>
    <w:rsid w:val="004213D7"/>
    <w:rsid w:val="004221BD"/>
    <w:rsid w:val="00423E03"/>
    <w:rsid w:val="004325F3"/>
    <w:rsid w:val="004415E1"/>
    <w:rsid w:val="00442D69"/>
    <w:rsid w:val="00455424"/>
    <w:rsid w:val="00456252"/>
    <w:rsid w:val="0046031B"/>
    <w:rsid w:val="004674F0"/>
    <w:rsid w:val="00490D7D"/>
    <w:rsid w:val="004970AE"/>
    <w:rsid w:val="004A05E1"/>
    <w:rsid w:val="004A10BF"/>
    <w:rsid w:val="004A7CB4"/>
    <w:rsid w:val="004B093D"/>
    <w:rsid w:val="004D2486"/>
    <w:rsid w:val="004D67D7"/>
    <w:rsid w:val="004D6C2C"/>
    <w:rsid w:val="004E3754"/>
    <w:rsid w:val="004E6D77"/>
    <w:rsid w:val="004F7B48"/>
    <w:rsid w:val="00500B3B"/>
    <w:rsid w:val="005038BE"/>
    <w:rsid w:val="00503E57"/>
    <w:rsid w:val="0050784A"/>
    <w:rsid w:val="005127B5"/>
    <w:rsid w:val="00513DC0"/>
    <w:rsid w:val="00523172"/>
    <w:rsid w:val="005255E9"/>
    <w:rsid w:val="005304D8"/>
    <w:rsid w:val="005360DE"/>
    <w:rsid w:val="0054181C"/>
    <w:rsid w:val="00554743"/>
    <w:rsid w:val="00557F9B"/>
    <w:rsid w:val="00573E7F"/>
    <w:rsid w:val="00574DBD"/>
    <w:rsid w:val="00575349"/>
    <w:rsid w:val="00580FBE"/>
    <w:rsid w:val="00584735"/>
    <w:rsid w:val="005923D0"/>
    <w:rsid w:val="005956FE"/>
    <w:rsid w:val="005A345F"/>
    <w:rsid w:val="005A7D51"/>
    <w:rsid w:val="005B3629"/>
    <w:rsid w:val="005C5446"/>
    <w:rsid w:val="005C5A5B"/>
    <w:rsid w:val="005D5896"/>
    <w:rsid w:val="005D5EB3"/>
    <w:rsid w:val="005D7D00"/>
    <w:rsid w:val="005E4C27"/>
    <w:rsid w:val="005F6213"/>
    <w:rsid w:val="00600608"/>
    <w:rsid w:val="006044B3"/>
    <w:rsid w:val="0061018B"/>
    <w:rsid w:val="00611BDD"/>
    <w:rsid w:val="006273C4"/>
    <w:rsid w:val="00632A93"/>
    <w:rsid w:val="00633E34"/>
    <w:rsid w:val="00645D65"/>
    <w:rsid w:val="00650BDE"/>
    <w:rsid w:val="006577EA"/>
    <w:rsid w:val="00665470"/>
    <w:rsid w:val="00665655"/>
    <w:rsid w:val="0068124C"/>
    <w:rsid w:val="00681DB3"/>
    <w:rsid w:val="00682551"/>
    <w:rsid w:val="006904E3"/>
    <w:rsid w:val="00692BED"/>
    <w:rsid w:val="00693B8C"/>
    <w:rsid w:val="00695E67"/>
    <w:rsid w:val="006A23FC"/>
    <w:rsid w:val="006A36F5"/>
    <w:rsid w:val="006B4399"/>
    <w:rsid w:val="006B4E8D"/>
    <w:rsid w:val="006B6FB2"/>
    <w:rsid w:val="006C1122"/>
    <w:rsid w:val="006C165F"/>
    <w:rsid w:val="006C2EB8"/>
    <w:rsid w:val="006C4567"/>
    <w:rsid w:val="006C7FD7"/>
    <w:rsid w:val="006D006D"/>
    <w:rsid w:val="006E4C8A"/>
    <w:rsid w:val="006E6BF1"/>
    <w:rsid w:val="006F5C22"/>
    <w:rsid w:val="006F6CB7"/>
    <w:rsid w:val="007112EA"/>
    <w:rsid w:val="007143D2"/>
    <w:rsid w:val="00730527"/>
    <w:rsid w:val="00753719"/>
    <w:rsid w:val="00757593"/>
    <w:rsid w:val="00766F69"/>
    <w:rsid w:val="00782793"/>
    <w:rsid w:val="00794FB1"/>
    <w:rsid w:val="007B2867"/>
    <w:rsid w:val="007B6785"/>
    <w:rsid w:val="007B6C05"/>
    <w:rsid w:val="007C0659"/>
    <w:rsid w:val="007C39A0"/>
    <w:rsid w:val="007C65E7"/>
    <w:rsid w:val="007C7E3D"/>
    <w:rsid w:val="007D2024"/>
    <w:rsid w:val="007D289C"/>
    <w:rsid w:val="007E6D16"/>
    <w:rsid w:val="00800FA0"/>
    <w:rsid w:val="00815145"/>
    <w:rsid w:val="00825A6B"/>
    <w:rsid w:val="00832E71"/>
    <w:rsid w:val="00852EDB"/>
    <w:rsid w:val="008531E0"/>
    <w:rsid w:val="008537DA"/>
    <w:rsid w:val="00854464"/>
    <w:rsid w:val="00861BEB"/>
    <w:rsid w:val="00891A83"/>
    <w:rsid w:val="008A1B18"/>
    <w:rsid w:val="008A3A46"/>
    <w:rsid w:val="008C2C57"/>
    <w:rsid w:val="008D4FA7"/>
    <w:rsid w:val="008F1726"/>
    <w:rsid w:val="008F3353"/>
    <w:rsid w:val="008F4BAC"/>
    <w:rsid w:val="009126CB"/>
    <w:rsid w:val="0091766D"/>
    <w:rsid w:val="00917F04"/>
    <w:rsid w:val="00932770"/>
    <w:rsid w:val="00937EE0"/>
    <w:rsid w:val="00942AE2"/>
    <w:rsid w:val="00944F79"/>
    <w:rsid w:val="00952699"/>
    <w:rsid w:val="00953B8A"/>
    <w:rsid w:val="00964249"/>
    <w:rsid w:val="00983412"/>
    <w:rsid w:val="0098513B"/>
    <w:rsid w:val="009A7EE3"/>
    <w:rsid w:val="009C011F"/>
    <w:rsid w:val="009C5011"/>
    <w:rsid w:val="009C53FC"/>
    <w:rsid w:val="009D1005"/>
    <w:rsid w:val="009D1DD0"/>
    <w:rsid w:val="009D62CC"/>
    <w:rsid w:val="009E4473"/>
    <w:rsid w:val="009E5E92"/>
    <w:rsid w:val="00A024C8"/>
    <w:rsid w:val="00A15400"/>
    <w:rsid w:val="00A17A9F"/>
    <w:rsid w:val="00A25820"/>
    <w:rsid w:val="00A311DA"/>
    <w:rsid w:val="00A43ED9"/>
    <w:rsid w:val="00A445E2"/>
    <w:rsid w:val="00A44D74"/>
    <w:rsid w:val="00A455F5"/>
    <w:rsid w:val="00A459D1"/>
    <w:rsid w:val="00A45F21"/>
    <w:rsid w:val="00A512D4"/>
    <w:rsid w:val="00A54284"/>
    <w:rsid w:val="00A615D6"/>
    <w:rsid w:val="00A638E9"/>
    <w:rsid w:val="00A720FB"/>
    <w:rsid w:val="00A72A33"/>
    <w:rsid w:val="00A763A4"/>
    <w:rsid w:val="00A95AFF"/>
    <w:rsid w:val="00AB2780"/>
    <w:rsid w:val="00AB5052"/>
    <w:rsid w:val="00AB5DA5"/>
    <w:rsid w:val="00AD3C69"/>
    <w:rsid w:val="00AD486F"/>
    <w:rsid w:val="00AE1678"/>
    <w:rsid w:val="00AE48C6"/>
    <w:rsid w:val="00AF6884"/>
    <w:rsid w:val="00B00B0B"/>
    <w:rsid w:val="00B063A0"/>
    <w:rsid w:val="00B1076F"/>
    <w:rsid w:val="00B27B42"/>
    <w:rsid w:val="00B43B4B"/>
    <w:rsid w:val="00B43D94"/>
    <w:rsid w:val="00B47176"/>
    <w:rsid w:val="00B67BE4"/>
    <w:rsid w:val="00B74043"/>
    <w:rsid w:val="00B7413D"/>
    <w:rsid w:val="00B74554"/>
    <w:rsid w:val="00B83BB3"/>
    <w:rsid w:val="00B842AA"/>
    <w:rsid w:val="00B92D6E"/>
    <w:rsid w:val="00BC1305"/>
    <w:rsid w:val="00BF0D8F"/>
    <w:rsid w:val="00C07971"/>
    <w:rsid w:val="00C1166B"/>
    <w:rsid w:val="00C1792E"/>
    <w:rsid w:val="00C44C3E"/>
    <w:rsid w:val="00C45036"/>
    <w:rsid w:val="00C5630B"/>
    <w:rsid w:val="00C60151"/>
    <w:rsid w:val="00C65DB7"/>
    <w:rsid w:val="00C67B3A"/>
    <w:rsid w:val="00C74B41"/>
    <w:rsid w:val="00C81C3A"/>
    <w:rsid w:val="00C82188"/>
    <w:rsid w:val="00C831F1"/>
    <w:rsid w:val="00C83DFB"/>
    <w:rsid w:val="00C95B5C"/>
    <w:rsid w:val="00CB1D90"/>
    <w:rsid w:val="00CC0663"/>
    <w:rsid w:val="00CD3494"/>
    <w:rsid w:val="00CE043D"/>
    <w:rsid w:val="00CE4A63"/>
    <w:rsid w:val="00CE5514"/>
    <w:rsid w:val="00CE75EE"/>
    <w:rsid w:val="00D10572"/>
    <w:rsid w:val="00D15DBA"/>
    <w:rsid w:val="00D20A2D"/>
    <w:rsid w:val="00D21C06"/>
    <w:rsid w:val="00D248FA"/>
    <w:rsid w:val="00D276DB"/>
    <w:rsid w:val="00D320BC"/>
    <w:rsid w:val="00D409F6"/>
    <w:rsid w:val="00D4465A"/>
    <w:rsid w:val="00D528AC"/>
    <w:rsid w:val="00D54CD5"/>
    <w:rsid w:val="00D55C41"/>
    <w:rsid w:val="00D5672F"/>
    <w:rsid w:val="00D601FA"/>
    <w:rsid w:val="00D64FDB"/>
    <w:rsid w:val="00D7289F"/>
    <w:rsid w:val="00D744B4"/>
    <w:rsid w:val="00D81FE5"/>
    <w:rsid w:val="00D833BA"/>
    <w:rsid w:val="00D91769"/>
    <w:rsid w:val="00DA0A07"/>
    <w:rsid w:val="00DA48AC"/>
    <w:rsid w:val="00DA4D5B"/>
    <w:rsid w:val="00DA5D90"/>
    <w:rsid w:val="00DB3C31"/>
    <w:rsid w:val="00DC1A7F"/>
    <w:rsid w:val="00DC6273"/>
    <w:rsid w:val="00DC64F8"/>
    <w:rsid w:val="00DE12EC"/>
    <w:rsid w:val="00DE6A0A"/>
    <w:rsid w:val="00DF61CE"/>
    <w:rsid w:val="00E02805"/>
    <w:rsid w:val="00E10109"/>
    <w:rsid w:val="00E102E1"/>
    <w:rsid w:val="00E141D5"/>
    <w:rsid w:val="00E14687"/>
    <w:rsid w:val="00E159C5"/>
    <w:rsid w:val="00E15F84"/>
    <w:rsid w:val="00E16FCD"/>
    <w:rsid w:val="00E23FF5"/>
    <w:rsid w:val="00E241E0"/>
    <w:rsid w:val="00E30D05"/>
    <w:rsid w:val="00E534E5"/>
    <w:rsid w:val="00E56CD3"/>
    <w:rsid w:val="00E64BC0"/>
    <w:rsid w:val="00E66241"/>
    <w:rsid w:val="00E75ED8"/>
    <w:rsid w:val="00E80E69"/>
    <w:rsid w:val="00E921CE"/>
    <w:rsid w:val="00EA2AB5"/>
    <w:rsid w:val="00EA532B"/>
    <w:rsid w:val="00EA5C6E"/>
    <w:rsid w:val="00EB0B64"/>
    <w:rsid w:val="00EB5223"/>
    <w:rsid w:val="00ED25BF"/>
    <w:rsid w:val="00ED3B20"/>
    <w:rsid w:val="00EE1E21"/>
    <w:rsid w:val="00EE6786"/>
    <w:rsid w:val="00EF5FF7"/>
    <w:rsid w:val="00F15EED"/>
    <w:rsid w:val="00F16E87"/>
    <w:rsid w:val="00F2565F"/>
    <w:rsid w:val="00F375CD"/>
    <w:rsid w:val="00F42CFA"/>
    <w:rsid w:val="00F4473B"/>
    <w:rsid w:val="00F5203D"/>
    <w:rsid w:val="00F525FB"/>
    <w:rsid w:val="00F534B3"/>
    <w:rsid w:val="00F60624"/>
    <w:rsid w:val="00F661E0"/>
    <w:rsid w:val="00F6645B"/>
    <w:rsid w:val="00F77AE3"/>
    <w:rsid w:val="00F84B16"/>
    <w:rsid w:val="00F974AD"/>
    <w:rsid w:val="00FB4D88"/>
    <w:rsid w:val="00FB545D"/>
    <w:rsid w:val="00FC6C24"/>
    <w:rsid w:val="00FD062C"/>
    <w:rsid w:val="00FD1F87"/>
    <w:rsid w:val="00FD25FB"/>
    <w:rsid w:val="00FD39EA"/>
    <w:rsid w:val="00FE1AEC"/>
    <w:rsid w:val="00FF0863"/>
    <w:rsid w:val="00FF4A1E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A96E05"/>
  <w15:docId w15:val="{527A77A0-EDA7-4BE1-83DB-F76FDAEA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C4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D528A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528AC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A459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73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9D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7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9D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73C4"/>
    <w:rPr>
      <w:rFonts w:cs="Times New Roman"/>
    </w:rPr>
  </w:style>
  <w:style w:type="paragraph" w:customStyle="1" w:styleId="BulletText1">
    <w:name w:val="Bullet Text 1"/>
    <w:basedOn w:val="Normal"/>
    <w:uiPriority w:val="99"/>
    <w:rsid w:val="006273C4"/>
    <w:pPr>
      <w:overflowPunct w:val="0"/>
      <w:autoSpaceDE w:val="0"/>
      <w:autoSpaceDN w:val="0"/>
      <w:adjustRightInd w:val="0"/>
      <w:ind w:left="180" w:hanging="187"/>
      <w:textAlignment w:val="baseline"/>
    </w:pPr>
    <w:rPr>
      <w:szCs w:val="20"/>
    </w:rPr>
  </w:style>
  <w:style w:type="paragraph" w:styleId="PlainText">
    <w:name w:val="Plain Text"/>
    <w:basedOn w:val="Normal"/>
    <w:link w:val="PlainTextChar"/>
    <w:uiPriority w:val="99"/>
    <w:rsid w:val="00A459D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59D1"/>
    <w:rPr>
      <w:rFonts w:ascii="Courier New" w:hAnsi="Courier New" w:cs="Courier New"/>
    </w:rPr>
  </w:style>
  <w:style w:type="paragraph" w:styleId="NormalIndent">
    <w:name w:val="Normal Indent"/>
    <w:basedOn w:val="Normal"/>
    <w:link w:val="NormalIndentChar"/>
    <w:uiPriority w:val="99"/>
    <w:rsid w:val="00665470"/>
    <w:pPr>
      <w:widowControl w:val="0"/>
      <w:autoSpaceDE w:val="0"/>
      <w:autoSpaceDN w:val="0"/>
      <w:adjustRightInd w:val="0"/>
      <w:ind w:left="720"/>
    </w:pPr>
    <w:rPr>
      <w:rFonts w:ascii="Avenir 55 Roman" w:eastAsia="MS Mincho" w:hAnsi="Avenir 55 Roman" w:cs="Arial"/>
      <w:sz w:val="22"/>
      <w:szCs w:val="22"/>
      <w:lang w:val="en-GB" w:eastAsia="ja-JP"/>
    </w:rPr>
  </w:style>
  <w:style w:type="character" w:customStyle="1" w:styleId="NormalIndentChar">
    <w:name w:val="Normal Indent Char"/>
    <w:basedOn w:val="DefaultParagraphFont"/>
    <w:link w:val="NormalIndent"/>
    <w:uiPriority w:val="99"/>
    <w:locked/>
    <w:rsid w:val="00665470"/>
    <w:rPr>
      <w:rFonts w:ascii="Avenir 55 Roman" w:eastAsia="MS Mincho" w:hAnsi="Avenir 55 Roman" w:cs="Arial"/>
      <w:sz w:val="22"/>
      <w:szCs w:val="22"/>
      <w:lang w:val="en-GB" w:eastAsia="ja-JP"/>
    </w:rPr>
  </w:style>
  <w:style w:type="character" w:styleId="Hyperlink">
    <w:name w:val="Hyperlink"/>
    <w:basedOn w:val="DefaultParagraphFont"/>
    <w:uiPriority w:val="99"/>
    <w:rsid w:val="00D528AC"/>
    <w:rPr>
      <w:rFonts w:cs="Times New Roman"/>
      <w:color w:val="0000CC"/>
      <w:u w:val="single"/>
      <w:effect w:val="none"/>
    </w:rPr>
  </w:style>
  <w:style w:type="paragraph" w:styleId="NormalWeb">
    <w:name w:val="Normal (Web)"/>
    <w:basedOn w:val="Normal"/>
    <w:uiPriority w:val="99"/>
    <w:semiHidden/>
    <w:rsid w:val="00D528AC"/>
    <w:pPr>
      <w:spacing w:after="396" w:line="372" w:lineRule="atLeast"/>
    </w:pPr>
    <w:rPr>
      <w:sz w:val="16"/>
      <w:szCs w:val="16"/>
    </w:rPr>
  </w:style>
  <w:style w:type="character" w:customStyle="1" w:styleId="twikirevinfo">
    <w:name w:val="twikirevinfo"/>
    <w:basedOn w:val="DefaultParagraphFont"/>
    <w:uiPriority w:val="99"/>
    <w:rsid w:val="00D528AC"/>
    <w:rPr>
      <w:rFonts w:cs="Times New Roman"/>
    </w:rPr>
  </w:style>
  <w:style w:type="character" w:customStyle="1" w:styleId="twikihomepath">
    <w:name w:val="twikihomepath"/>
    <w:basedOn w:val="DefaultParagraphFont"/>
    <w:uiPriority w:val="99"/>
    <w:rsid w:val="00D528AC"/>
    <w:rPr>
      <w:rFonts w:cs="Times New Roman"/>
    </w:rPr>
  </w:style>
  <w:style w:type="character" w:customStyle="1" w:styleId="sep">
    <w:name w:val="sep"/>
    <w:basedOn w:val="DefaultParagraphFont"/>
    <w:uiPriority w:val="99"/>
    <w:rsid w:val="00D528AC"/>
    <w:rPr>
      <w:rFonts w:cs="Times New Roman"/>
    </w:rPr>
  </w:style>
  <w:style w:type="character" w:customStyle="1" w:styleId="twikigraytext">
    <w:name w:val="twikigraytext"/>
    <w:basedOn w:val="DefaultParagraphFont"/>
    <w:uiPriority w:val="99"/>
    <w:rsid w:val="00D528AC"/>
    <w:rPr>
      <w:rFonts w:cs="Times New Roman"/>
    </w:rPr>
  </w:style>
  <w:style w:type="paragraph" w:styleId="TOC6">
    <w:name w:val="toc 6"/>
    <w:basedOn w:val="Normal"/>
    <w:next w:val="Normal"/>
    <w:autoRedefine/>
    <w:uiPriority w:val="99"/>
    <w:semiHidden/>
    <w:rsid w:val="00196523"/>
    <w:pPr>
      <w:widowControl w:val="0"/>
      <w:autoSpaceDE w:val="0"/>
      <w:autoSpaceDN w:val="0"/>
      <w:adjustRightInd w:val="0"/>
      <w:ind w:left="1100"/>
    </w:pPr>
    <w:rPr>
      <w:rFonts w:ascii="Calibri" w:eastAsia="MS Mincho" w:hAnsi="Calibri" w:cs="Arial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rsid w:val="00574DB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E101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0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C06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E56CD3"/>
    <w:rPr>
      <w:rFonts w:cs="Times New Roman"/>
    </w:rPr>
  </w:style>
  <w:style w:type="paragraph" w:customStyle="1" w:styleId="PageTitle">
    <w:name w:val="Page Title"/>
    <w:basedOn w:val="Normal"/>
    <w:link w:val="PageTitleChar"/>
    <w:uiPriority w:val="99"/>
    <w:rsid w:val="00503E57"/>
    <w:pPr>
      <w:autoSpaceDE w:val="0"/>
      <w:autoSpaceDN w:val="0"/>
      <w:adjustRightInd w:val="0"/>
      <w:spacing w:line="276" w:lineRule="auto"/>
      <w:textAlignment w:val="center"/>
    </w:pPr>
    <w:rPr>
      <w:rFonts w:ascii="Georgia" w:hAnsi="Georgia" w:cs="Georgia"/>
      <w:color w:val="F40000"/>
      <w:sz w:val="36"/>
      <w:szCs w:val="36"/>
    </w:rPr>
  </w:style>
  <w:style w:type="character" w:customStyle="1" w:styleId="PageTitleChar">
    <w:name w:val="Page Title Char"/>
    <w:basedOn w:val="DefaultParagraphFont"/>
    <w:link w:val="PageTitle"/>
    <w:uiPriority w:val="99"/>
    <w:locked/>
    <w:rsid w:val="00503E57"/>
    <w:rPr>
      <w:rFonts w:ascii="Georgia" w:eastAsia="Times New Roman" w:hAnsi="Georgia" w:cs="Georgia"/>
      <w:color w:val="F40000"/>
      <w:sz w:val="36"/>
      <w:szCs w:val="36"/>
    </w:rPr>
  </w:style>
  <w:style w:type="numbering" w:customStyle="1" w:styleId="StyleHeading1SectionHeadingLeft2">
    <w:name w:val="Style Heading 1Section Heading + Left2"/>
    <w:rsid w:val="00C059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0700F5B788F4DBA7783608256F7D3" ma:contentTypeVersion="0" ma:contentTypeDescription="Create a new document." ma:contentTypeScope="" ma:versionID="39d2a6c8a4c50be14ea8f4613fdf03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47E29-BF18-4653-B455-88CD4A6E6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32815-874A-40E0-A53B-EDF8BBE37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882C8-F421-45C3-A4CF-79FEC1E26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granting, changing and removing system and application access rights to employees</vt:lpstr>
    </vt:vector>
  </TitlesOfParts>
  <Company>New England Media and IT Services, LLC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granting, changing and removing system and application access rights to employees</dc:title>
  <dc:creator>Alexander Hubbard</dc:creator>
  <cp:keywords>v1.2</cp:keywords>
  <cp:lastModifiedBy>Alexander Hubbard</cp:lastModifiedBy>
  <cp:revision>3</cp:revision>
  <cp:lastPrinted>2013-10-03T13:26:00Z</cp:lastPrinted>
  <dcterms:created xsi:type="dcterms:W3CDTF">2023-08-07T21:10:00Z</dcterms:created>
  <dcterms:modified xsi:type="dcterms:W3CDTF">2023-08-07T21:11:00Z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0x0101004F40700F5B788F4DBA7783608256F7D3</vt:lpwstr>
  </property>
  <property fmtid="{D5CDD505-2E9C-101B-9397-08002B2CF9AE}" pid="3" name="Procedure">
    <vt:lpwstr/>
  </property>
</Properties>
</file>